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DD4" w:rsidRDefault="00755DD4" w:rsidP="00755DD4">
      <w:pPr>
        <w:pStyle w:val="Body"/>
        <w:rPr>
          <w:rFonts w:hint="eastAsia"/>
        </w:rPr>
      </w:pPr>
    </w:p>
    <w:p w:rsidR="00755DD4" w:rsidRDefault="00755DD4" w:rsidP="00755DD4">
      <w:pPr>
        <w:pStyle w:val="Body"/>
        <w:rPr>
          <w:rFonts w:hint="eastAsia"/>
        </w:rPr>
      </w:pPr>
    </w:p>
    <w:p w:rsidR="00755DD4" w:rsidRDefault="00755DD4" w:rsidP="00755DD4">
      <w:pPr>
        <w:pStyle w:val="Default"/>
        <w:rPr>
          <w:rFonts w:ascii="Times New Roman" w:hAnsi="Times New Roman"/>
          <w:sz w:val="36"/>
          <w:szCs w:val="36"/>
          <w:shd w:val="clear" w:color="auto" w:fill="FEFFFE"/>
        </w:rPr>
      </w:pPr>
    </w:p>
    <w:p w:rsidR="00755DD4" w:rsidRPr="00C33C35" w:rsidRDefault="00755DD4" w:rsidP="00755DD4">
      <w:pPr>
        <w:pStyle w:val="Default"/>
        <w:rPr>
          <w:rFonts w:asciiTheme="minorHAnsi" w:eastAsia="Times New Roman" w:hAnsiTheme="minorHAnsi" w:cstheme="minorHAnsi"/>
          <w:sz w:val="24"/>
          <w:szCs w:val="24"/>
          <w:u w:color="000000"/>
          <w:shd w:val="clear" w:color="auto" w:fill="FEFFFE"/>
        </w:rPr>
      </w:pPr>
      <w:r w:rsidRPr="00C33C35">
        <w:rPr>
          <w:rFonts w:asciiTheme="minorHAnsi" w:hAnsiTheme="minorHAnsi" w:cstheme="minorHAnsi"/>
          <w:b/>
          <w:bCs/>
          <w:sz w:val="24"/>
          <w:szCs w:val="24"/>
          <w:u w:val="single" w:color="000000"/>
          <w:shd w:val="clear" w:color="auto" w:fill="FEFFFE"/>
          <w:lang w:val="en-US"/>
        </w:rPr>
        <w:t>Gender Pay Gap Reporting</w:t>
      </w:r>
      <w:r w:rsidRPr="00C33C35">
        <w:rPr>
          <w:rFonts w:asciiTheme="minorHAnsi" w:hAnsiTheme="minorHAnsi" w:cstheme="minorHAnsi"/>
          <w:b/>
          <w:bCs/>
          <w:sz w:val="24"/>
          <w:szCs w:val="24"/>
          <w:u w:val="single" w:color="000000"/>
          <w:shd w:val="clear" w:color="auto" w:fill="FEFFFE"/>
        </w:rPr>
        <w:t>:</w:t>
      </w:r>
    </w:p>
    <w:p w:rsidR="00755DD4" w:rsidRPr="00C33C35" w:rsidRDefault="00755DD4" w:rsidP="00755DD4">
      <w:pPr>
        <w:pStyle w:val="Default"/>
        <w:rPr>
          <w:rFonts w:asciiTheme="minorHAnsi" w:eastAsia="Times New Roman" w:hAnsiTheme="minorHAnsi" w:cstheme="minorHAnsi"/>
          <w:sz w:val="24"/>
          <w:szCs w:val="24"/>
          <w:u w:color="000000"/>
          <w:shd w:val="clear" w:color="auto" w:fill="FEFFFE"/>
        </w:rPr>
      </w:pPr>
      <w:r w:rsidRPr="00C33C35">
        <w:rPr>
          <w:rFonts w:asciiTheme="minorHAnsi" w:hAnsiTheme="minorHAnsi" w:cstheme="minorHAnsi"/>
          <w:sz w:val="24"/>
          <w:szCs w:val="24"/>
          <w:u w:color="000000"/>
          <w:shd w:val="clear" w:color="auto" w:fill="FEFFFE"/>
        </w:rPr>
        <w:t> </w:t>
      </w:r>
    </w:p>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r w:rsidRPr="00C33C35">
        <w:rPr>
          <w:rFonts w:asciiTheme="minorHAnsi" w:hAnsiTheme="minorHAnsi" w:cstheme="minorHAnsi"/>
          <w:sz w:val="24"/>
          <w:szCs w:val="24"/>
          <w:u w:color="000000"/>
          <w:shd w:val="clear" w:color="auto" w:fill="FEFFFE"/>
          <w:lang w:val="en-US"/>
        </w:rPr>
        <w:t xml:space="preserve">In April 2017 the </w:t>
      </w:r>
      <w:r w:rsidRPr="00C33C35">
        <w:rPr>
          <w:rFonts w:asciiTheme="minorHAnsi" w:hAnsiTheme="minorHAnsi" w:cstheme="minorHAnsi"/>
          <w:sz w:val="24"/>
          <w:szCs w:val="24"/>
          <w:u w:color="000000"/>
          <w:shd w:val="clear" w:color="auto" w:fill="FEFFFE"/>
        </w:rPr>
        <w:t>‘</w:t>
      </w:r>
      <w:r w:rsidRPr="00C33C35">
        <w:rPr>
          <w:rFonts w:asciiTheme="minorHAnsi" w:hAnsiTheme="minorHAnsi" w:cstheme="minorHAnsi"/>
          <w:sz w:val="24"/>
          <w:szCs w:val="24"/>
          <w:u w:color="000000"/>
          <w:shd w:val="clear" w:color="auto" w:fill="FEFFFE"/>
          <w:lang w:val="en-US"/>
        </w:rPr>
        <w:t>Equality Act 2010 (Gender Pay Gap Information) Regulations 2017</w:t>
      </w:r>
      <w:r w:rsidRPr="00C33C35">
        <w:rPr>
          <w:rFonts w:asciiTheme="minorHAnsi" w:hAnsiTheme="minorHAnsi" w:cstheme="minorHAnsi"/>
          <w:sz w:val="24"/>
          <w:szCs w:val="24"/>
          <w:u w:color="000000"/>
          <w:shd w:val="clear" w:color="auto" w:fill="FEFFFE"/>
        </w:rPr>
        <w:t xml:space="preserve">’ </w:t>
      </w:r>
      <w:r w:rsidRPr="00C33C35">
        <w:rPr>
          <w:rFonts w:asciiTheme="minorHAnsi" w:hAnsiTheme="minorHAnsi" w:cstheme="minorHAnsi"/>
          <w:sz w:val="24"/>
          <w:szCs w:val="24"/>
          <w:u w:color="000000"/>
          <w:shd w:val="clear" w:color="auto" w:fill="FEFFFE"/>
          <w:lang w:val="en-US"/>
        </w:rPr>
        <w:t xml:space="preserve">for private and voluntary-sector employers came into force requiring all </w:t>
      </w:r>
      <w:hyperlink r:id="rId7" w:history="1">
        <w:r w:rsidRPr="00C33C35">
          <w:rPr>
            <w:rStyle w:val="Hyperlink0"/>
            <w:rFonts w:asciiTheme="minorHAnsi" w:hAnsiTheme="minorHAnsi" w:cstheme="minorHAnsi"/>
            <w:sz w:val="24"/>
            <w:szCs w:val="24"/>
            <w:shd w:val="clear" w:color="auto" w:fill="FEFFFE"/>
            <w:lang w:val="en-US"/>
          </w:rPr>
          <w:t>private and voluntary-sector employers with 250 or more employees</w:t>
        </w:r>
      </w:hyperlink>
      <w:r w:rsidRPr="00C33C35">
        <w:rPr>
          <w:rFonts w:asciiTheme="minorHAnsi" w:hAnsiTheme="minorHAnsi" w:cstheme="minorHAnsi"/>
          <w:sz w:val="24"/>
          <w:szCs w:val="24"/>
          <w:u w:color="000000"/>
          <w:shd w:val="clear" w:color="auto" w:fill="FEFFFE"/>
          <w:lang w:val="en-US"/>
        </w:rPr>
        <w:t xml:space="preserve"> to publish prescribed information about their gender pay gap results.</w:t>
      </w:r>
    </w:p>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rPr>
        <w:t> </w:t>
      </w:r>
    </w:p>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r w:rsidRPr="00C33C35">
        <w:rPr>
          <w:rFonts w:asciiTheme="minorHAnsi" w:hAnsiTheme="minorHAnsi" w:cstheme="minorHAnsi"/>
          <w:sz w:val="24"/>
          <w:szCs w:val="24"/>
          <w:u w:color="000000"/>
          <w:shd w:val="clear" w:color="auto" w:fill="FEFFFE"/>
          <w:lang w:val="en-US"/>
        </w:rPr>
        <w:t>We set out below that information along with a brief commentary about the data</w:t>
      </w:r>
      <w:r w:rsidR="00847052" w:rsidRPr="00C33C35">
        <w:rPr>
          <w:rFonts w:asciiTheme="minorHAnsi" w:hAnsiTheme="minorHAnsi" w:cstheme="minorHAnsi"/>
          <w:sz w:val="24"/>
          <w:szCs w:val="24"/>
          <w:u w:color="000000"/>
          <w:shd w:val="clear" w:color="auto" w:fill="FEFFFE"/>
          <w:lang w:val="en-US"/>
        </w:rPr>
        <w:t xml:space="preserve"> for April </w:t>
      </w:r>
      <w:r w:rsidR="00C33C35" w:rsidRPr="00C33C35">
        <w:rPr>
          <w:rFonts w:asciiTheme="minorHAnsi" w:hAnsiTheme="minorHAnsi" w:cstheme="minorHAnsi"/>
          <w:sz w:val="24"/>
          <w:szCs w:val="24"/>
          <w:u w:color="000000"/>
          <w:shd w:val="clear" w:color="auto" w:fill="FEFFFE"/>
          <w:lang w:val="en-US"/>
        </w:rPr>
        <w:t>201</w:t>
      </w:r>
      <w:r w:rsidR="00C33C35" w:rsidRPr="00C33C35">
        <w:rPr>
          <w:rFonts w:asciiTheme="minorHAnsi" w:hAnsiTheme="minorHAnsi" w:cstheme="minorHAnsi"/>
          <w:sz w:val="24"/>
          <w:szCs w:val="24"/>
          <w:u w:color="000000"/>
          <w:shd w:val="clear" w:color="auto" w:fill="FEFFFE"/>
          <w:lang w:val="en-US"/>
        </w:rPr>
        <w:t>9</w:t>
      </w:r>
      <w:r w:rsidRPr="00C33C35">
        <w:rPr>
          <w:rFonts w:asciiTheme="minorHAnsi" w:hAnsiTheme="minorHAnsi" w:cstheme="minorHAnsi"/>
          <w:sz w:val="24"/>
          <w:szCs w:val="24"/>
          <w:u w:color="000000"/>
          <w:shd w:val="clear" w:color="auto" w:fill="FEFFFE"/>
          <w:lang w:val="en-US"/>
        </w:rPr>
        <w:t>.</w:t>
      </w:r>
    </w:p>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rPr>
        <w:t> </w:t>
      </w:r>
    </w:p>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rPr>
        <w:t xml:space="preserve">1. </w:t>
      </w:r>
      <w:r w:rsidRPr="00C33C35">
        <w:rPr>
          <w:rStyle w:val="None"/>
          <w:rFonts w:asciiTheme="minorHAnsi" w:hAnsiTheme="minorHAnsi" w:cstheme="minorHAnsi"/>
          <w:sz w:val="24"/>
          <w:szCs w:val="24"/>
          <w:u w:color="000000"/>
          <w:shd w:val="clear" w:color="auto" w:fill="FEFFFE"/>
          <w:lang w:val="en-US"/>
        </w:rPr>
        <w:t>The mean gender pay gap is</w:t>
      </w:r>
      <w:r w:rsidR="00C33C35" w:rsidRPr="00C33C35">
        <w:rPr>
          <w:rStyle w:val="None"/>
          <w:rFonts w:asciiTheme="minorHAnsi" w:hAnsiTheme="minorHAnsi" w:cstheme="minorHAnsi"/>
          <w:sz w:val="24"/>
          <w:szCs w:val="24"/>
          <w:u w:color="000000"/>
          <w:shd w:val="clear" w:color="auto" w:fill="FEFFFE"/>
          <w:lang w:val="en-US"/>
        </w:rPr>
        <w:t xml:space="preserve"> 16%</w:t>
      </w:r>
    </w:p>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rPr>
        <w:t xml:space="preserve">2. </w:t>
      </w:r>
      <w:r w:rsidRPr="00C33C35">
        <w:rPr>
          <w:rStyle w:val="None"/>
          <w:rFonts w:asciiTheme="minorHAnsi" w:hAnsiTheme="minorHAnsi" w:cstheme="minorHAnsi"/>
          <w:sz w:val="24"/>
          <w:szCs w:val="24"/>
          <w:u w:color="000000"/>
          <w:shd w:val="clear" w:color="auto" w:fill="FEFFFE"/>
          <w:lang w:val="en-US"/>
        </w:rPr>
        <w:t xml:space="preserve"> The median gender pay gap is</w:t>
      </w:r>
      <w:r w:rsidR="00C33C35" w:rsidRPr="00C33C35">
        <w:rPr>
          <w:rStyle w:val="None"/>
          <w:rFonts w:asciiTheme="minorHAnsi" w:hAnsiTheme="minorHAnsi" w:cstheme="minorHAnsi"/>
          <w:sz w:val="24"/>
          <w:szCs w:val="24"/>
          <w:u w:color="000000"/>
          <w:shd w:val="clear" w:color="auto" w:fill="FEFFFE"/>
          <w:lang w:val="en-US"/>
        </w:rPr>
        <w:t xml:space="preserve"> 13.6</w:t>
      </w:r>
      <w:r w:rsidRPr="00C33C35">
        <w:rPr>
          <w:rStyle w:val="None"/>
          <w:rFonts w:asciiTheme="minorHAnsi" w:hAnsiTheme="minorHAnsi" w:cstheme="minorHAnsi"/>
          <w:sz w:val="24"/>
          <w:szCs w:val="24"/>
          <w:u w:color="000000"/>
          <w:shd w:val="clear" w:color="auto" w:fill="FEFFFE"/>
          <w:lang w:val="en-US"/>
        </w:rPr>
        <w:t>%</w:t>
      </w:r>
    </w:p>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rPr>
        <w:t> </w:t>
      </w:r>
    </w:p>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rPr>
        <w:t>3.  </w:t>
      </w:r>
      <w:r w:rsidRPr="00C33C35">
        <w:rPr>
          <w:rStyle w:val="None"/>
          <w:rFonts w:asciiTheme="minorHAnsi" w:hAnsiTheme="minorHAnsi" w:cstheme="minorHAnsi"/>
          <w:sz w:val="24"/>
          <w:szCs w:val="24"/>
          <w:u w:color="000000"/>
          <w:shd w:val="clear" w:color="auto" w:fill="FEFFFE"/>
          <w:lang w:val="en-US"/>
        </w:rPr>
        <w:t xml:space="preserve">The mean gender bonus gap is </w:t>
      </w:r>
      <w:r w:rsidR="00847052" w:rsidRPr="00C33C35">
        <w:rPr>
          <w:rStyle w:val="None"/>
          <w:rFonts w:asciiTheme="minorHAnsi" w:hAnsiTheme="minorHAnsi" w:cstheme="minorHAnsi"/>
          <w:sz w:val="24"/>
          <w:szCs w:val="24"/>
          <w:u w:color="000000"/>
          <w:shd w:val="clear" w:color="auto" w:fill="FEFFFE"/>
          <w:lang w:val="en-US"/>
        </w:rPr>
        <w:t>-</w:t>
      </w:r>
      <w:r w:rsidR="00C33C35" w:rsidRPr="00C33C35">
        <w:rPr>
          <w:rStyle w:val="None"/>
          <w:rFonts w:asciiTheme="minorHAnsi" w:hAnsiTheme="minorHAnsi" w:cstheme="minorHAnsi"/>
          <w:sz w:val="24"/>
          <w:szCs w:val="24"/>
          <w:u w:color="000000"/>
          <w:shd w:val="clear" w:color="auto" w:fill="FEFFFE"/>
          <w:lang w:val="en-US"/>
        </w:rPr>
        <w:t>0</w:t>
      </w:r>
      <w:r w:rsidRPr="00C33C35">
        <w:rPr>
          <w:rStyle w:val="None"/>
          <w:rFonts w:asciiTheme="minorHAnsi" w:hAnsiTheme="minorHAnsi" w:cstheme="minorHAnsi"/>
          <w:sz w:val="24"/>
          <w:szCs w:val="24"/>
          <w:u w:color="000000"/>
          <w:shd w:val="clear" w:color="auto" w:fill="FEFFFE"/>
          <w:lang w:val="en-US"/>
        </w:rPr>
        <w:t>%</w:t>
      </w:r>
    </w:p>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rPr>
        <w:t>4.  </w:t>
      </w:r>
      <w:r w:rsidRPr="00C33C35">
        <w:rPr>
          <w:rStyle w:val="None"/>
          <w:rFonts w:asciiTheme="minorHAnsi" w:hAnsiTheme="minorHAnsi" w:cstheme="minorHAnsi"/>
          <w:sz w:val="24"/>
          <w:szCs w:val="24"/>
          <w:u w:color="000000"/>
          <w:shd w:val="clear" w:color="auto" w:fill="FEFFFE"/>
          <w:lang w:val="en-US"/>
        </w:rPr>
        <w:t xml:space="preserve">The median gender bonus gap is </w:t>
      </w:r>
      <w:r w:rsidR="00847052" w:rsidRPr="00C33C35">
        <w:rPr>
          <w:rStyle w:val="None"/>
          <w:rFonts w:asciiTheme="minorHAnsi" w:hAnsiTheme="minorHAnsi" w:cstheme="minorHAnsi"/>
          <w:sz w:val="24"/>
          <w:szCs w:val="24"/>
          <w:u w:color="000000"/>
          <w:shd w:val="clear" w:color="auto" w:fill="FEFFFE"/>
          <w:lang w:val="en-US"/>
        </w:rPr>
        <w:t>-</w:t>
      </w:r>
      <w:r w:rsidR="00C33C35" w:rsidRPr="00C33C35">
        <w:rPr>
          <w:rStyle w:val="None"/>
          <w:rFonts w:asciiTheme="minorHAnsi" w:hAnsiTheme="minorHAnsi" w:cstheme="minorHAnsi"/>
          <w:sz w:val="24"/>
          <w:szCs w:val="24"/>
          <w:u w:color="000000"/>
          <w:shd w:val="clear" w:color="auto" w:fill="FEFFFE"/>
          <w:lang w:val="en-US"/>
        </w:rPr>
        <w:t>0</w:t>
      </w:r>
      <w:r w:rsidRPr="00C33C35">
        <w:rPr>
          <w:rStyle w:val="None"/>
          <w:rFonts w:asciiTheme="minorHAnsi" w:hAnsiTheme="minorHAnsi" w:cstheme="minorHAnsi"/>
          <w:sz w:val="24"/>
          <w:szCs w:val="24"/>
          <w:u w:color="000000"/>
          <w:shd w:val="clear" w:color="auto" w:fill="FEFFFE"/>
          <w:lang w:val="en-US"/>
        </w:rPr>
        <w:t>%</w:t>
      </w:r>
    </w:p>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rPr>
        <w:t>5.  </w:t>
      </w:r>
      <w:r w:rsidRPr="00C33C35">
        <w:rPr>
          <w:rStyle w:val="None"/>
          <w:rFonts w:asciiTheme="minorHAnsi" w:hAnsiTheme="minorHAnsi" w:cstheme="minorHAnsi"/>
          <w:sz w:val="24"/>
          <w:szCs w:val="24"/>
          <w:u w:color="000000"/>
          <w:shd w:val="clear" w:color="auto" w:fill="FEFFFE"/>
          <w:lang w:val="en-US"/>
        </w:rPr>
        <w:t>The percentage of:</w:t>
      </w:r>
    </w:p>
    <w:p w:rsidR="00755DD4" w:rsidRPr="00C33C35" w:rsidRDefault="00755DD4" w:rsidP="00C33C35">
      <w:pPr>
        <w:pStyle w:val="Default"/>
        <w:numPr>
          <w:ilvl w:val="0"/>
          <w:numId w:val="1"/>
        </w:numPr>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lang w:val="en-US"/>
        </w:rPr>
        <w:t xml:space="preserve">male employees receiving a bonus is </w:t>
      </w:r>
      <w:r w:rsidR="00C33C35" w:rsidRPr="00C33C35">
        <w:rPr>
          <w:rStyle w:val="None"/>
          <w:rFonts w:asciiTheme="minorHAnsi" w:hAnsiTheme="minorHAnsi" w:cstheme="minorHAnsi"/>
          <w:sz w:val="24"/>
          <w:szCs w:val="24"/>
          <w:u w:color="000000"/>
          <w:shd w:val="clear" w:color="auto" w:fill="FEFFFE"/>
          <w:lang w:val="en-US"/>
        </w:rPr>
        <w:t>0</w:t>
      </w:r>
      <w:r w:rsidRPr="00C33C35">
        <w:rPr>
          <w:rStyle w:val="None"/>
          <w:rFonts w:asciiTheme="minorHAnsi" w:hAnsiTheme="minorHAnsi" w:cstheme="minorHAnsi"/>
          <w:sz w:val="24"/>
          <w:szCs w:val="24"/>
          <w:u w:color="000000"/>
          <w:shd w:val="clear" w:color="auto" w:fill="FEFFFE"/>
          <w:lang w:val="en-US"/>
        </w:rPr>
        <w:t>%</w:t>
      </w:r>
    </w:p>
    <w:p w:rsidR="00755DD4" w:rsidRPr="00C33C35" w:rsidRDefault="00755DD4" w:rsidP="00C33C35">
      <w:pPr>
        <w:pStyle w:val="Default"/>
        <w:numPr>
          <w:ilvl w:val="0"/>
          <w:numId w:val="1"/>
        </w:numPr>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lang w:val="en-US"/>
        </w:rPr>
        <w:t xml:space="preserve">female employees receiving a bonus is </w:t>
      </w:r>
      <w:r w:rsidR="00C33C35" w:rsidRPr="00C33C35">
        <w:rPr>
          <w:rStyle w:val="None"/>
          <w:rFonts w:asciiTheme="minorHAnsi" w:hAnsiTheme="minorHAnsi" w:cstheme="minorHAnsi"/>
          <w:sz w:val="24"/>
          <w:szCs w:val="24"/>
          <w:u w:color="000000"/>
          <w:shd w:val="clear" w:color="auto" w:fill="FEFFFE"/>
          <w:lang w:val="en-US"/>
        </w:rPr>
        <w:t>0</w:t>
      </w:r>
      <w:r w:rsidRPr="00C33C35">
        <w:rPr>
          <w:rStyle w:val="None"/>
          <w:rFonts w:asciiTheme="minorHAnsi" w:hAnsiTheme="minorHAnsi" w:cstheme="minorHAnsi"/>
          <w:sz w:val="24"/>
          <w:szCs w:val="24"/>
          <w:u w:color="000000"/>
          <w:shd w:val="clear" w:color="auto" w:fill="FEFFFE"/>
          <w:lang w:val="en-US"/>
        </w:rPr>
        <w:t>.</w:t>
      </w:r>
      <w:r w:rsidR="00847052" w:rsidRPr="00C33C35">
        <w:rPr>
          <w:rStyle w:val="None"/>
          <w:rFonts w:asciiTheme="minorHAnsi" w:hAnsiTheme="minorHAnsi" w:cstheme="minorHAnsi"/>
          <w:sz w:val="24"/>
          <w:szCs w:val="24"/>
          <w:u w:color="000000"/>
          <w:shd w:val="clear" w:color="auto" w:fill="FEFFFE"/>
          <w:lang w:val="en-US"/>
        </w:rPr>
        <w:t>5</w:t>
      </w:r>
      <w:r w:rsidRPr="00C33C35">
        <w:rPr>
          <w:rStyle w:val="None"/>
          <w:rFonts w:asciiTheme="minorHAnsi" w:hAnsiTheme="minorHAnsi" w:cstheme="minorHAnsi"/>
          <w:sz w:val="24"/>
          <w:szCs w:val="24"/>
          <w:u w:color="000000"/>
          <w:shd w:val="clear" w:color="auto" w:fill="FEFFFE"/>
          <w:lang w:val="en-US"/>
        </w:rPr>
        <w:t>%</w:t>
      </w:r>
    </w:p>
    <w:p w:rsidR="00755DD4" w:rsidRPr="00C33C35" w:rsidRDefault="00755DD4" w:rsidP="00755DD4">
      <w:pPr>
        <w:pStyle w:val="Default"/>
        <w:ind w:left="720" w:hanging="720"/>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rPr>
        <w:t> </w:t>
      </w:r>
    </w:p>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rPr>
        <w:t>6.    </w:t>
      </w:r>
      <w:r w:rsidRPr="00C33C35">
        <w:rPr>
          <w:rStyle w:val="None"/>
          <w:rFonts w:asciiTheme="minorHAnsi" w:hAnsiTheme="minorHAnsi" w:cstheme="minorHAnsi"/>
          <w:sz w:val="24"/>
          <w:szCs w:val="24"/>
          <w:u w:color="000000"/>
          <w:shd w:val="clear" w:color="auto" w:fill="FEFFFE"/>
          <w:lang w:val="en-US"/>
        </w:rPr>
        <w:t>The pay quartiles percentages (number of employees in each band) are:</w:t>
      </w:r>
      <w:r w:rsidR="00BA24AE">
        <w:rPr>
          <w:rStyle w:val="None"/>
          <w:rFonts w:asciiTheme="minorHAnsi" w:hAnsiTheme="minorHAnsi" w:cstheme="minorHAnsi"/>
          <w:sz w:val="24"/>
          <w:szCs w:val="24"/>
          <w:u w:color="000000"/>
          <w:shd w:val="clear" w:color="auto" w:fill="FEFFFE"/>
          <w:lang w:val="en-US"/>
        </w:rPr>
        <w:br/>
      </w:r>
      <w:bookmarkStart w:id="0" w:name="_GoBack"/>
      <w:bookmarkEnd w:id="0"/>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9"/>
        <w:gridCol w:w="3064"/>
        <w:gridCol w:w="3735"/>
      </w:tblGrid>
      <w:tr w:rsidR="00755DD4" w:rsidRPr="00C33C35" w:rsidTr="002E7879">
        <w:trPr>
          <w:trHeight w:val="360"/>
        </w:trPr>
        <w:tc>
          <w:tcPr>
            <w:tcW w:w="2839" w:type="dxa"/>
            <w:tcBorders>
              <w:top w:val="single" w:sz="8" w:space="0" w:color="000000"/>
              <w:left w:val="single" w:sz="8" w:space="0" w:color="000000"/>
              <w:bottom w:val="single" w:sz="8" w:space="0" w:color="000000"/>
              <w:right w:val="single" w:sz="8" w:space="0" w:color="000000"/>
            </w:tcBorders>
            <w:shd w:val="clear" w:color="auto" w:fill="FEFFFE"/>
            <w:tcMar>
              <w:top w:w="20" w:type="dxa"/>
              <w:left w:w="180" w:type="dxa"/>
              <w:bottom w:w="20" w:type="dxa"/>
              <w:right w:w="180" w:type="dxa"/>
            </w:tcMar>
            <w:vAlign w:val="center"/>
          </w:tcPr>
          <w:p w:rsidR="00755DD4" w:rsidRPr="00C33C35" w:rsidRDefault="00755DD4" w:rsidP="002E7879">
            <w:pPr>
              <w:pStyle w:val="TableStyle2"/>
              <w:jc w:val="center"/>
              <w:rPr>
                <w:rFonts w:asciiTheme="minorHAnsi" w:hAnsiTheme="minorHAnsi" w:cstheme="minorHAnsi"/>
                <w:sz w:val="24"/>
                <w:szCs w:val="24"/>
              </w:rPr>
            </w:pPr>
            <w:r w:rsidRPr="00C33C35">
              <w:rPr>
                <w:rFonts w:asciiTheme="minorHAnsi" w:hAnsiTheme="minorHAnsi" w:cstheme="minorHAnsi"/>
                <w:b/>
                <w:bCs/>
                <w:sz w:val="24"/>
                <w:szCs w:val="24"/>
                <w:u w:color="000000"/>
              </w:rPr>
              <w:t>Band</w:t>
            </w:r>
          </w:p>
        </w:tc>
        <w:tc>
          <w:tcPr>
            <w:tcW w:w="3063" w:type="dxa"/>
            <w:tcBorders>
              <w:top w:val="single" w:sz="8" w:space="0" w:color="000000"/>
              <w:left w:val="single" w:sz="8" w:space="0" w:color="000000"/>
              <w:bottom w:val="single" w:sz="8" w:space="0" w:color="000000"/>
              <w:right w:val="single" w:sz="8" w:space="0" w:color="000000"/>
            </w:tcBorders>
            <w:shd w:val="clear" w:color="auto" w:fill="FEFFFE"/>
            <w:tcMar>
              <w:top w:w="20" w:type="dxa"/>
              <w:left w:w="180" w:type="dxa"/>
              <w:bottom w:w="20" w:type="dxa"/>
              <w:right w:w="180" w:type="dxa"/>
            </w:tcMar>
            <w:vAlign w:val="center"/>
          </w:tcPr>
          <w:p w:rsidR="00755DD4" w:rsidRPr="00C33C35" w:rsidRDefault="00755DD4" w:rsidP="002E7879">
            <w:pPr>
              <w:pStyle w:val="TableStyle2"/>
              <w:jc w:val="center"/>
              <w:rPr>
                <w:rFonts w:asciiTheme="minorHAnsi" w:hAnsiTheme="minorHAnsi" w:cstheme="minorHAnsi"/>
                <w:sz w:val="24"/>
                <w:szCs w:val="24"/>
              </w:rPr>
            </w:pPr>
            <w:r w:rsidRPr="00C33C35">
              <w:rPr>
                <w:rFonts w:asciiTheme="minorHAnsi" w:hAnsiTheme="minorHAnsi" w:cstheme="minorHAnsi"/>
                <w:b/>
                <w:bCs/>
                <w:sz w:val="24"/>
                <w:szCs w:val="24"/>
                <w:u w:color="000000"/>
              </w:rPr>
              <w:t>Males</w:t>
            </w:r>
          </w:p>
        </w:tc>
        <w:tc>
          <w:tcPr>
            <w:tcW w:w="3734" w:type="dxa"/>
            <w:tcBorders>
              <w:top w:val="single" w:sz="8" w:space="0" w:color="000000"/>
              <w:left w:val="single" w:sz="8" w:space="0" w:color="000000"/>
              <w:bottom w:val="single" w:sz="8" w:space="0" w:color="000000"/>
              <w:right w:val="single" w:sz="8" w:space="0" w:color="000000"/>
            </w:tcBorders>
            <w:shd w:val="clear" w:color="auto" w:fill="FEFFFE"/>
            <w:tcMar>
              <w:top w:w="20" w:type="dxa"/>
              <w:left w:w="180" w:type="dxa"/>
              <w:bottom w:w="20" w:type="dxa"/>
              <w:right w:w="180" w:type="dxa"/>
            </w:tcMar>
            <w:vAlign w:val="center"/>
          </w:tcPr>
          <w:p w:rsidR="00755DD4" w:rsidRPr="00C33C35" w:rsidRDefault="00755DD4" w:rsidP="002E7879">
            <w:pPr>
              <w:pStyle w:val="TableStyle2"/>
              <w:jc w:val="center"/>
              <w:rPr>
                <w:rFonts w:asciiTheme="minorHAnsi" w:hAnsiTheme="minorHAnsi" w:cstheme="minorHAnsi"/>
                <w:sz w:val="24"/>
                <w:szCs w:val="24"/>
              </w:rPr>
            </w:pPr>
            <w:r w:rsidRPr="00C33C35">
              <w:rPr>
                <w:rFonts w:asciiTheme="minorHAnsi" w:hAnsiTheme="minorHAnsi" w:cstheme="minorHAnsi"/>
                <w:b/>
                <w:bCs/>
                <w:sz w:val="24"/>
                <w:szCs w:val="24"/>
                <w:u w:color="000000"/>
              </w:rPr>
              <w:t>Females</w:t>
            </w:r>
          </w:p>
        </w:tc>
      </w:tr>
      <w:tr w:rsidR="00755DD4" w:rsidRPr="00C33C35" w:rsidTr="002E7879">
        <w:trPr>
          <w:trHeight w:val="360"/>
        </w:trPr>
        <w:tc>
          <w:tcPr>
            <w:tcW w:w="2839" w:type="dxa"/>
            <w:tcBorders>
              <w:top w:val="single" w:sz="8" w:space="0" w:color="000000"/>
              <w:left w:val="single" w:sz="8" w:space="0" w:color="000000"/>
              <w:bottom w:val="single" w:sz="8" w:space="0" w:color="000000"/>
              <w:right w:val="single" w:sz="8" w:space="0" w:color="000000"/>
            </w:tcBorders>
            <w:shd w:val="clear" w:color="auto" w:fill="EDEDED"/>
            <w:tcMar>
              <w:top w:w="20" w:type="dxa"/>
              <w:left w:w="180" w:type="dxa"/>
              <w:bottom w:w="20" w:type="dxa"/>
              <w:right w:w="180" w:type="dxa"/>
            </w:tcMar>
            <w:vAlign w:val="center"/>
          </w:tcPr>
          <w:p w:rsidR="00755DD4" w:rsidRPr="00C33C35" w:rsidRDefault="00755DD4" w:rsidP="002E7879">
            <w:pPr>
              <w:pStyle w:val="TableStyle2"/>
              <w:jc w:val="center"/>
              <w:rPr>
                <w:rFonts w:asciiTheme="minorHAnsi" w:hAnsiTheme="minorHAnsi" w:cstheme="minorHAnsi"/>
                <w:sz w:val="24"/>
                <w:szCs w:val="24"/>
              </w:rPr>
            </w:pPr>
            <w:r w:rsidRPr="00C33C35">
              <w:rPr>
                <w:rFonts w:asciiTheme="minorHAnsi" w:hAnsiTheme="minorHAnsi" w:cstheme="minorHAnsi"/>
                <w:sz w:val="24"/>
                <w:szCs w:val="24"/>
                <w:u w:color="000000"/>
              </w:rPr>
              <w:t>A</w:t>
            </w:r>
          </w:p>
        </w:tc>
        <w:tc>
          <w:tcPr>
            <w:tcW w:w="3063" w:type="dxa"/>
            <w:tcBorders>
              <w:top w:val="single" w:sz="8" w:space="0" w:color="000000"/>
              <w:left w:val="single" w:sz="8" w:space="0" w:color="000000"/>
              <w:bottom w:val="single" w:sz="8" w:space="0" w:color="000000"/>
              <w:right w:val="single" w:sz="8" w:space="0" w:color="000000"/>
            </w:tcBorders>
            <w:shd w:val="clear" w:color="auto" w:fill="EDEDED"/>
            <w:tcMar>
              <w:top w:w="20" w:type="dxa"/>
              <w:left w:w="180" w:type="dxa"/>
              <w:bottom w:w="20" w:type="dxa"/>
              <w:right w:w="180" w:type="dxa"/>
            </w:tcMar>
            <w:vAlign w:val="center"/>
          </w:tcPr>
          <w:p w:rsidR="00755DD4" w:rsidRPr="00C33C35" w:rsidRDefault="00755DD4" w:rsidP="00C33C35">
            <w:pPr>
              <w:jc w:val="right"/>
              <w:rPr>
                <w:rFonts w:asciiTheme="minorHAnsi" w:hAnsiTheme="minorHAnsi" w:cstheme="minorHAnsi"/>
              </w:rPr>
            </w:pPr>
            <w:r w:rsidRPr="00C33C35">
              <w:rPr>
                <w:rFonts w:asciiTheme="minorHAnsi" w:hAnsiTheme="minorHAnsi" w:cstheme="minorHAnsi"/>
                <w:color w:val="000000"/>
                <w:u w:color="000000"/>
              </w:rPr>
              <w:t>2</w:t>
            </w:r>
            <w:r w:rsidR="00847052" w:rsidRPr="00C33C35">
              <w:rPr>
                <w:rFonts w:asciiTheme="minorHAnsi" w:hAnsiTheme="minorHAnsi" w:cstheme="minorHAnsi"/>
                <w:color w:val="000000"/>
                <w:u w:color="000000"/>
              </w:rPr>
              <w:t>5</w:t>
            </w:r>
            <w:r w:rsidRPr="00C33C35">
              <w:rPr>
                <w:rFonts w:asciiTheme="minorHAnsi" w:hAnsiTheme="minorHAnsi" w:cstheme="minorHAnsi"/>
                <w:color w:val="000000"/>
                <w:u w:color="000000"/>
              </w:rPr>
              <w:t>%</w:t>
            </w:r>
          </w:p>
        </w:tc>
        <w:tc>
          <w:tcPr>
            <w:tcW w:w="3734" w:type="dxa"/>
            <w:tcBorders>
              <w:top w:val="single" w:sz="8" w:space="0" w:color="000000"/>
              <w:left w:val="single" w:sz="8" w:space="0" w:color="000000"/>
              <w:bottom w:val="single" w:sz="8" w:space="0" w:color="000000"/>
              <w:right w:val="single" w:sz="8" w:space="0" w:color="000000"/>
            </w:tcBorders>
            <w:shd w:val="clear" w:color="auto" w:fill="EDEDED"/>
            <w:tcMar>
              <w:top w:w="20" w:type="dxa"/>
              <w:left w:w="180" w:type="dxa"/>
              <w:bottom w:w="20" w:type="dxa"/>
              <w:right w:w="180" w:type="dxa"/>
            </w:tcMar>
            <w:vAlign w:val="center"/>
          </w:tcPr>
          <w:p w:rsidR="00755DD4" w:rsidRPr="00C33C35" w:rsidRDefault="00755DD4" w:rsidP="00C33C35">
            <w:pPr>
              <w:jc w:val="right"/>
              <w:rPr>
                <w:rFonts w:asciiTheme="minorHAnsi" w:hAnsiTheme="minorHAnsi" w:cstheme="minorHAnsi"/>
              </w:rPr>
            </w:pPr>
            <w:r w:rsidRPr="00C33C35">
              <w:rPr>
                <w:rFonts w:asciiTheme="minorHAnsi" w:hAnsiTheme="minorHAnsi" w:cstheme="minorHAnsi"/>
                <w:color w:val="000000"/>
                <w:u w:color="000000"/>
              </w:rPr>
              <w:t>7</w:t>
            </w:r>
            <w:r w:rsidR="00C33C35" w:rsidRPr="00C33C35">
              <w:rPr>
                <w:rFonts w:asciiTheme="minorHAnsi" w:hAnsiTheme="minorHAnsi" w:cstheme="minorHAnsi"/>
                <w:color w:val="000000"/>
                <w:u w:color="000000"/>
              </w:rPr>
              <w:t>5</w:t>
            </w:r>
            <w:r w:rsidRPr="00C33C35">
              <w:rPr>
                <w:rFonts w:asciiTheme="minorHAnsi" w:hAnsiTheme="minorHAnsi" w:cstheme="minorHAnsi"/>
                <w:color w:val="000000"/>
                <w:u w:color="000000"/>
              </w:rPr>
              <w:t>%</w:t>
            </w:r>
          </w:p>
        </w:tc>
      </w:tr>
      <w:tr w:rsidR="00755DD4" w:rsidRPr="00C33C35" w:rsidTr="002E7879">
        <w:trPr>
          <w:trHeight w:val="360"/>
        </w:trPr>
        <w:tc>
          <w:tcPr>
            <w:tcW w:w="2839" w:type="dxa"/>
            <w:tcBorders>
              <w:top w:val="single" w:sz="8" w:space="0" w:color="000000"/>
              <w:left w:val="single" w:sz="8" w:space="0" w:color="000000"/>
              <w:bottom w:val="single" w:sz="8" w:space="0" w:color="000000"/>
              <w:right w:val="single" w:sz="8" w:space="0" w:color="000000"/>
            </w:tcBorders>
            <w:shd w:val="clear" w:color="auto" w:fill="FEFFFE"/>
            <w:tcMar>
              <w:top w:w="20" w:type="dxa"/>
              <w:left w:w="180" w:type="dxa"/>
              <w:bottom w:w="20" w:type="dxa"/>
              <w:right w:w="180" w:type="dxa"/>
            </w:tcMar>
            <w:vAlign w:val="center"/>
          </w:tcPr>
          <w:p w:rsidR="00755DD4" w:rsidRPr="00C33C35" w:rsidRDefault="00755DD4" w:rsidP="002E7879">
            <w:pPr>
              <w:pStyle w:val="TableStyle2"/>
              <w:jc w:val="center"/>
              <w:rPr>
                <w:rFonts w:asciiTheme="minorHAnsi" w:hAnsiTheme="minorHAnsi" w:cstheme="minorHAnsi"/>
                <w:sz w:val="24"/>
                <w:szCs w:val="24"/>
              </w:rPr>
            </w:pPr>
            <w:r w:rsidRPr="00C33C35">
              <w:rPr>
                <w:rFonts w:asciiTheme="minorHAnsi" w:hAnsiTheme="minorHAnsi" w:cstheme="minorHAnsi"/>
                <w:sz w:val="24"/>
                <w:szCs w:val="24"/>
                <w:u w:color="000000"/>
              </w:rPr>
              <w:t>B</w:t>
            </w:r>
          </w:p>
        </w:tc>
        <w:tc>
          <w:tcPr>
            <w:tcW w:w="3063" w:type="dxa"/>
            <w:tcBorders>
              <w:top w:val="single" w:sz="8" w:space="0" w:color="000000"/>
              <w:left w:val="single" w:sz="8" w:space="0" w:color="000000"/>
              <w:bottom w:val="single" w:sz="8" w:space="0" w:color="000000"/>
              <w:right w:val="single" w:sz="8" w:space="0" w:color="000000"/>
            </w:tcBorders>
            <w:shd w:val="clear" w:color="auto" w:fill="FEFFFE"/>
            <w:tcMar>
              <w:top w:w="20" w:type="dxa"/>
              <w:left w:w="180" w:type="dxa"/>
              <w:bottom w:w="20" w:type="dxa"/>
              <w:right w:w="180" w:type="dxa"/>
            </w:tcMar>
            <w:vAlign w:val="center"/>
          </w:tcPr>
          <w:p w:rsidR="00755DD4" w:rsidRPr="00C33C35" w:rsidRDefault="00755DD4" w:rsidP="00C33C35">
            <w:pPr>
              <w:jc w:val="right"/>
              <w:rPr>
                <w:rFonts w:asciiTheme="minorHAnsi" w:hAnsiTheme="minorHAnsi" w:cstheme="minorHAnsi"/>
              </w:rPr>
            </w:pPr>
            <w:r w:rsidRPr="00C33C35">
              <w:rPr>
                <w:rFonts w:asciiTheme="minorHAnsi" w:hAnsiTheme="minorHAnsi" w:cstheme="minorHAnsi"/>
                <w:color w:val="000000"/>
                <w:u w:color="000000"/>
              </w:rPr>
              <w:t>2</w:t>
            </w:r>
            <w:r w:rsidR="00C33C35" w:rsidRPr="00C33C35">
              <w:rPr>
                <w:rFonts w:asciiTheme="minorHAnsi" w:hAnsiTheme="minorHAnsi" w:cstheme="minorHAnsi"/>
                <w:color w:val="000000"/>
                <w:u w:color="000000"/>
              </w:rPr>
              <w:t>9.2</w:t>
            </w:r>
            <w:r w:rsidRPr="00C33C35">
              <w:rPr>
                <w:rFonts w:asciiTheme="minorHAnsi" w:hAnsiTheme="minorHAnsi" w:cstheme="minorHAnsi"/>
                <w:color w:val="000000"/>
                <w:u w:color="000000"/>
              </w:rPr>
              <w:t>%</w:t>
            </w:r>
          </w:p>
        </w:tc>
        <w:tc>
          <w:tcPr>
            <w:tcW w:w="3734" w:type="dxa"/>
            <w:tcBorders>
              <w:top w:val="single" w:sz="8" w:space="0" w:color="000000"/>
              <w:left w:val="single" w:sz="8" w:space="0" w:color="000000"/>
              <w:bottom w:val="single" w:sz="8" w:space="0" w:color="000000"/>
              <w:right w:val="single" w:sz="8" w:space="0" w:color="000000"/>
            </w:tcBorders>
            <w:shd w:val="clear" w:color="auto" w:fill="FEFFFE"/>
            <w:tcMar>
              <w:top w:w="20" w:type="dxa"/>
              <w:left w:w="180" w:type="dxa"/>
              <w:bottom w:w="20" w:type="dxa"/>
              <w:right w:w="180" w:type="dxa"/>
            </w:tcMar>
            <w:vAlign w:val="center"/>
          </w:tcPr>
          <w:p w:rsidR="00755DD4" w:rsidRPr="00C33C35" w:rsidRDefault="00755DD4" w:rsidP="00C33C35">
            <w:pPr>
              <w:jc w:val="right"/>
              <w:rPr>
                <w:rFonts w:asciiTheme="minorHAnsi" w:hAnsiTheme="minorHAnsi" w:cstheme="minorHAnsi"/>
              </w:rPr>
            </w:pPr>
            <w:r w:rsidRPr="00C33C35">
              <w:rPr>
                <w:rFonts w:asciiTheme="minorHAnsi" w:hAnsiTheme="minorHAnsi" w:cstheme="minorHAnsi"/>
                <w:color w:val="000000"/>
                <w:u w:color="000000"/>
              </w:rPr>
              <w:t>7</w:t>
            </w:r>
            <w:r w:rsidR="00C33C35" w:rsidRPr="00C33C35">
              <w:rPr>
                <w:rFonts w:asciiTheme="minorHAnsi" w:hAnsiTheme="minorHAnsi" w:cstheme="minorHAnsi"/>
                <w:color w:val="000000"/>
                <w:u w:color="000000"/>
              </w:rPr>
              <w:t>0.8</w:t>
            </w:r>
            <w:r w:rsidRPr="00C33C35">
              <w:rPr>
                <w:rFonts w:asciiTheme="minorHAnsi" w:hAnsiTheme="minorHAnsi" w:cstheme="minorHAnsi"/>
                <w:color w:val="000000"/>
                <w:u w:color="000000"/>
              </w:rPr>
              <w:t>%</w:t>
            </w:r>
          </w:p>
        </w:tc>
      </w:tr>
      <w:tr w:rsidR="00755DD4" w:rsidRPr="00C33C35" w:rsidTr="002E7879">
        <w:trPr>
          <w:trHeight w:val="360"/>
        </w:trPr>
        <w:tc>
          <w:tcPr>
            <w:tcW w:w="2839" w:type="dxa"/>
            <w:tcBorders>
              <w:top w:val="single" w:sz="8" w:space="0" w:color="000000"/>
              <w:left w:val="single" w:sz="8" w:space="0" w:color="000000"/>
              <w:bottom w:val="single" w:sz="8" w:space="0" w:color="000000"/>
              <w:right w:val="single" w:sz="8" w:space="0" w:color="000000"/>
            </w:tcBorders>
            <w:shd w:val="clear" w:color="auto" w:fill="EDEDED"/>
            <w:tcMar>
              <w:top w:w="20" w:type="dxa"/>
              <w:left w:w="180" w:type="dxa"/>
              <w:bottom w:w="20" w:type="dxa"/>
              <w:right w:w="180" w:type="dxa"/>
            </w:tcMar>
            <w:vAlign w:val="center"/>
          </w:tcPr>
          <w:p w:rsidR="00755DD4" w:rsidRPr="00C33C35" w:rsidRDefault="00755DD4" w:rsidP="002E7879">
            <w:pPr>
              <w:pStyle w:val="TableStyle2"/>
              <w:jc w:val="center"/>
              <w:rPr>
                <w:rFonts w:asciiTheme="minorHAnsi" w:hAnsiTheme="minorHAnsi" w:cstheme="minorHAnsi"/>
                <w:sz w:val="24"/>
                <w:szCs w:val="24"/>
              </w:rPr>
            </w:pPr>
            <w:r w:rsidRPr="00C33C35">
              <w:rPr>
                <w:rFonts w:asciiTheme="minorHAnsi" w:hAnsiTheme="minorHAnsi" w:cstheme="minorHAnsi"/>
                <w:sz w:val="24"/>
                <w:szCs w:val="24"/>
                <w:u w:color="000000"/>
              </w:rPr>
              <w:t>C</w:t>
            </w:r>
          </w:p>
        </w:tc>
        <w:tc>
          <w:tcPr>
            <w:tcW w:w="3063" w:type="dxa"/>
            <w:tcBorders>
              <w:top w:val="single" w:sz="8" w:space="0" w:color="000000"/>
              <w:left w:val="single" w:sz="8" w:space="0" w:color="000000"/>
              <w:bottom w:val="single" w:sz="8" w:space="0" w:color="000000"/>
              <w:right w:val="single" w:sz="8" w:space="0" w:color="000000"/>
            </w:tcBorders>
            <w:shd w:val="clear" w:color="auto" w:fill="EDEDED"/>
            <w:tcMar>
              <w:top w:w="20" w:type="dxa"/>
              <w:left w:w="180" w:type="dxa"/>
              <w:bottom w:w="20" w:type="dxa"/>
              <w:right w:w="180" w:type="dxa"/>
            </w:tcMar>
            <w:vAlign w:val="center"/>
          </w:tcPr>
          <w:p w:rsidR="00755DD4" w:rsidRPr="00C33C35" w:rsidRDefault="00755DD4" w:rsidP="00C33C35">
            <w:pPr>
              <w:jc w:val="right"/>
              <w:rPr>
                <w:rFonts w:asciiTheme="minorHAnsi" w:hAnsiTheme="minorHAnsi" w:cstheme="minorHAnsi"/>
              </w:rPr>
            </w:pPr>
            <w:r w:rsidRPr="00C33C35">
              <w:rPr>
                <w:rFonts w:asciiTheme="minorHAnsi" w:hAnsiTheme="minorHAnsi" w:cstheme="minorHAnsi"/>
                <w:color w:val="000000"/>
                <w:u w:color="000000"/>
              </w:rPr>
              <w:t>3</w:t>
            </w:r>
            <w:r w:rsidR="00C33C35" w:rsidRPr="00C33C35">
              <w:rPr>
                <w:rFonts w:asciiTheme="minorHAnsi" w:hAnsiTheme="minorHAnsi" w:cstheme="minorHAnsi"/>
                <w:color w:val="000000"/>
                <w:u w:color="000000"/>
              </w:rPr>
              <w:t>3.5</w:t>
            </w:r>
            <w:r w:rsidRPr="00C33C35">
              <w:rPr>
                <w:rFonts w:asciiTheme="minorHAnsi" w:hAnsiTheme="minorHAnsi" w:cstheme="minorHAnsi"/>
                <w:color w:val="000000"/>
                <w:u w:color="000000"/>
              </w:rPr>
              <w:t>%</w:t>
            </w:r>
          </w:p>
        </w:tc>
        <w:tc>
          <w:tcPr>
            <w:tcW w:w="3734" w:type="dxa"/>
            <w:tcBorders>
              <w:top w:val="single" w:sz="8" w:space="0" w:color="000000"/>
              <w:left w:val="single" w:sz="8" w:space="0" w:color="000000"/>
              <w:bottom w:val="single" w:sz="8" w:space="0" w:color="000000"/>
              <w:right w:val="single" w:sz="8" w:space="0" w:color="000000"/>
            </w:tcBorders>
            <w:shd w:val="clear" w:color="auto" w:fill="EDEDED"/>
            <w:tcMar>
              <w:top w:w="20" w:type="dxa"/>
              <w:left w:w="180" w:type="dxa"/>
              <w:bottom w:w="20" w:type="dxa"/>
              <w:right w:w="180" w:type="dxa"/>
            </w:tcMar>
            <w:vAlign w:val="center"/>
          </w:tcPr>
          <w:p w:rsidR="00755DD4" w:rsidRPr="00C33C35" w:rsidRDefault="00755DD4" w:rsidP="00C33C35">
            <w:pPr>
              <w:jc w:val="right"/>
              <w:rPr>
                <w:rFonts w:asciiTheme="minorHAnsi" w:hAnsiTheme="minorHAnsi" w:cstheme="minorHAnsi"/>
              </w:rPr>
            </w:pPr>
            <w:r w:rsidRPr="00C33C35">
              <w:rPr>
                <w:rFonts w:asciiTheme="minorHAnsi" w:hAnsiTheme="minorHAnsi" w:cstheme="minorHAnsi"/>
                <w:color w:val="000000"/>
                <w:u w:color="000000"/>
              </w:rPr>
              <w:t>6</w:t>
            </w:r>
            <w:r w:rsidR="00C33C35" w:rsidRPr="00C33C35">
              <w:rPr>
                <w:rFonts w:asciiTheme="minorHAnsi" w:hAnsiTheme="minorHAnsi" w:cstheme="minorHAnsi"/>
                <w:color w:val="000000"/>
                <w:u w:color="000000"/>
              </w:rPr>
              <w:t>6.5</w:t>
            </w:r>
            <w:r w:rsidRPr="00C33C35">
              <w:rPr>
                <w:rFonts w:asciiTheme="minorHAnsi" w:hAnsiTheme="minorHAnsi" w:cstheme="minorHAnsi"/>
                <w:color w:val="000000"/>
                <w:u w:color="000000"/>
              </w:rPr>
              <w:t>%</w:t>
            </w:r>
          </w:p>
        </w:tc>
      </w:tr>
      <w:tr w:rsidR="00755DD4" w:rsidRPr="00C33C35" w:rsidTr="002E7879">
        <w:trPr>
          <w:trHeight w:val="360"/>
        </w:trPr>
        <w:tc>
          <w:tcPr>
            <w:tcW w:w="2839" w:type="dxa"/>
            <w:tcBorders>
              <w:top w:val="single" w:sz="8" w:space="0" w:color="000000"/>
              <w:left w:val="single" w:sz="8" w:space="0" w:color="000000"/>
              <w:bottom w:val="single" w:sz="8" w:space="0" w:color="000000"/>
              <w:right w:val="single" w:sz="8" w:space="0" w:color="000000"/>
            </w:tcBorders>
            <w:shd w:val="clear" w:color="auto" w:fill="FEFFFE"/>
            <w:tcMar>
              <w:top w:w="20" w:type="dxa"/>
              <w:left w:w="180" w:type="dxa"/>
              <w:bottom w:w="20" w:type="dxa"/>
              <w:right w:w="180" w:type="dxa"/>
            </w:tcMar>
            <w:vAlign w:val="center"/>
          </w:tcPr>
          <w:p w:rsidR="00755DD4" w:rsidRPr="00C33C35" w:rsidRDefault="00755DD4" w:rsidP="002E7879">
            <w:pPr>
              <w:pStyle w:val="TableStyle2"/>
              <w:jc w:val="center"/>
              <w:rPr>
                <w:rFonts w:asciiTheme="minorHAnsi" w:hAnsiTheme="minorHAnsi" w:cstheme="minorHAnsi"/>
                <w:sz w:val="24"/>
                <w:szCs w:val="24"/>
              </w:rPr>
            </w:pPr>
            <w:r w:rsidRPr="00C33C35">
              <w:rPr>
                <w:rFonts w:asciiTheme="minorHAnsi" w:hAnsiTheme="minorHAnsi" w:cstheme="minorHAnsi"/>
                <w:sz w:val="24"/>
                <w:szCs w:val="24"/>
                <w:u w:color="000000"/>
              </w:rPr>
              <w:t>D</w:t>
            </w:r>
          </w:p>
        </w:tc>
        <w:tc>
          <w:tcPr>
            <w:tcW w:w="3063" w:type="dxa"/>
            <w:tcBorders>
              <w:top w:val="single" w:sz="8" w:space="0" w:color="000000"/>
              <w:left w:val="single" w:sz="8" w:space="0" w:color="000000"/>
              <w:bottom w:val="single" w:sz="8" w:space="0" w:color="000000"/>
              <w:right w:val="single" w:sz="8" w:space="0" w:color="000000"/>
            </w:tcBorders>
            <w:shd w:val="clear" w:color="auto" w:fill="FEFFFE"/>
            <w:tcMar>
              <w:top w:w="20" w:type="dxa"/>
              <w:left w:w="180" w:type="dxa"/>
              <w:bottom w:w="20" w:type="dxa"/>
              <w:right w:w="180" w:type="dxa"/>
            </w:tcMar>
            <w:vAlign w:val="center"/>
          </w:tcPr>
          <w:p w:rsidR="00755DD4" w:rsidRPr="00C33C35" w:rsidRDefault="00755DD4" w:rsidP="00C33C35">
            <w:pPr>
              <w:jc w:val="right"/>
              <w:rPr>
                <w:rFonts w:asciiTheme="minorHAnsi" w:hAnsiTheme="minorHAnsi" w:cstheme="minorHAnsi"/>
              </w:rPr>
            </w:pPr>
            <w:r w:rsidRPr="00C33C35">
              <w:rPr>
                <w:rFonts w:asciiTheme="minorHAnsi" w:hAnsiTheme="minorHAnsi" w:cstheme="minorHAnsi"/>
                <w:color w:val="000000"/>
                <w:u w:color="000000"/>
              </w:rPr>
              <w:t>45.</w:t>
            </w:r>
            <w:r w:rsidR="00C33C35" w:rsidRPr="00C33C35">
              <w:rPr>
                <w:rFonts w:asciiTheme="minorHAnsi" w:hAnsiTheme="minorHAnsi" w:cstheme="minorHAnsi"/>
                <w:color w:val="000000"/>
                <w:u w:color="000000"/>
              </w:rPr>
              <w:t>6</w:t>
            </w:r>
            <w:r w:rsidRPr="00C33C35">
              <w:rPr>
                <w:rFonts w:asciiTheme="minorHAnsi" w:hAnsiTheme="minorHAnsi" w:cstheme="minorHAnsi"/>
                <w:color w:val="000000"/>
                <w:u w:color="000000"/>
              </w:rPr>
              <w:t>%</w:t>
            </w:r>
          </w:p>
        </w:tc>
        <w:tc>
          <w:tcPr>
            <w:tcW w:w="3734" w:type="dxa"/>
            <w:tcBorders>
              <w:top w:val="single" w:sz="8" w:space="0" w:color="000000"/>
              <w:left w:val="single" w:sz="8" w:space="0" w:color="000000"/>
              <w:bottom w:val="single" w:sz="8" w:space="0" w:color="000000"/>
              <w:right w:val="single" w:sz="8" w:space="0" w:color="000000"/>
            </w:tcBorders>
            <w:shd w:val="clear" w:color="auto" w:fill="FEFFFE"/>
            <w:tcMar>
              <w:top w:w="20" w:type="dxa"/>
              <w:left w:w="180" w:type="dxa"/>
              <w:bottom w:w="20" w:type="dxa"/>
              <w:right w:w="180" w:type="dxa"/>
            </w:tcMar>
            <w:vAlign w:val="center"/>
          </w:tcPr>
          <w:p w:rsidR="00755DD4" w:rsidRPr="00C33C35" w:rsidRDefault="00755DD4" w:rsidP="00C33C35">
            <w:pPr>
              <w:jc w:val="right"/>
              <w:rPr>
                <w:rFonts w:asciiTheme="minorHAnsi" w:hAnsiTheme="minorHAnsi" w:cstheme="minorHAnsi"/>
              </w:rPr>
            </w:pPr>
            <w:r w:rsidRPr="00C33C35">
              <w:rPr>
                <w:rFonts w:asciiTheme="minorHAnsi" w:hAnsiTheme="minorHAnsi" w:cstheme="minorHAnsi"/>
                <w:color w:val="000000"/>
                <w:u w:color="000000"/>
              </w:rPr>
              <w:t>54.</w:t>
            </w:r>
            <w:r w:rsidR="00C33C35" w:rsidRPr="00C33C35">
              <w:rPr>
                <w:rFonts w:asciiTheme="minorHAnsi" w:hAnsiTheme="minorHAnsi" w:cstheme="minorHAnsi"/>
                <w:color w:val="000000"/>
                <w:u w:color="000000"/>
              </w:rPr>
              <w:t>4</w:t>
            </w:r>
            <w:r w:rsidRPr="00C33C35">
              <w:rPr>
                <w:rFonts w:asciiTheme="minorHAnsi" w:hAnsiTheme="minorHAnsi" w:cstheme="minorHAnsi"/>
                <w:color w:val="000000"/>
                <w:u w:color="000000"/>
              </w:rPr>
              <w:t>%</w:t>
            </w:r>
          </w:p>
        </w:tc>
      </w:tr>
    </w:tbl>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p>
    <w:p w:rsidR="00755DD4" w:rsidRPr="00C33C35" w:rsidRDefault="00755DD4" w:rsidP="00755DD4">
      <w:pPr>
        <w:pStyle w:val="Default"/>
        <w:rPr>
          <w:rStyle w:val="None"/>
          <w:rFonts w:asciiTheme="minorHAnsi" w:eastAsia="Times New Roman" w:hAnsiTheme="minorHAnsi" w:cstheme="minorHAnsi"/>
          <w:sz w:val="24"/>
          <w:szCs w:val="24"/>
          <w:u w:color="000000"/>
          <w:shd w:val="clear" w:color="auto" w:fill="FEFFFE"/>
        </w:rPr>
      </w:pPr>
      <w:r w:rsidRPr="00C33C35">
        <w:rPr>
          <w:rStyle w:val="None"/>
          <w:rFonts w:asciiTheme="minorHAnsi" w:hAnsiTheme="minorHAnsi" w:cstheme="minorHAnsi"/>
          <w:sz w:val="24"/>
          <w:szCs w:val="24"/>
          <w:u w:color="000000"/>
          <w:shd w:val="clear" w:color="auto" w:fill="FEFFFE"/>
        </w:rPr>
        <w:t> </w:t>
      </w:r>
    </w:p>
    <w:p w:rsidR="00755DD4" w:rsidRPr="00C33C35" w:rsidRDefault="00755DD4" w:rsidP="00755DD4">
      <w:pPr>
        <w:pStyle w:val="Default"/>
        <w:rPr>
          <w:rStyle w:val="None"/>
          <w:rFonts w:asciiTheme="minorHAnsi" w:eastAsia="Times New Roman" w:hAnsiTheme="minorHAnsi" w:cstheme="minorHAnsi"/>
          <w:b/>
          <w:bCs/>
          <w:sz w:val="24"/>
          <w:szCs w:val="24"/>
          <w:u w:color="000000"/>
          <w:shd w:val="clear" w:color="auto" w:fill="FEFFFE"/>
        </w:rPr>
      </w:pPr>
      <w:r w:rsidRPr="00C33C35">
        <w:rPr>
          <w:rStyle w:val="None"/>
          <w:rFonts w:asciiTheme="minorHAnsi" w:hAnsiTheme="minorHAnsi" w:cstheme="minorHAnsi"/>
          <w:b/>
          <w:bCs/>
          <w:sz w:val="24"/>
          <w:szCs w:val="24"/>
          <w:u w:color="000000"/>
          <w:shd w:val="clear" w:color="auto" w:fill="FEFFFE"/>
          <w:lang w:val="en-US"/>
        </w:rPr>
        <w:t>Explanatory Notes:</w:t>
      </w:r>
    </w:p>
    <w:p w:rsidR="00755DD4" w:rsidRPr="00C33C35" w:rsidRDefault="00755DD4" w:rsidP="00755DD4">
      <w:pPr>
        <w:pStyle w:val="Default"/>
        <w:rPr>
          <w:rStyle w:val="None"/>
          <w:rFonts w:asciiTheme="minorHAnsi" w:eastAsia="Times New Roman" w:hAnsiTheme="minorHAnsi" w:cstheme="minorHAnsi"/>
          <w:sz w:val="24"/>
          <w:szCs w:val="24"/>
          <w:shd w:val="clear" w:color="auto" w:fill="FEFFFE"/>
        </w:rPr>
      </w:pPr>
    </w:p>
    <w:p w:rsidR="00755DD4" w:rsidRPr="00C33C35" w:rsidRDefault="00755DD4" w:rsidP="00755DD4">
      <w:pPr>
        <w:pStyle w:val="Default"/>
        <w:rPr>
          <w:rStyle w:val="None"/>
          <w:rFonts w:asciiTheme="minorHAnsi" w:eastAsia="Times New Roman" w:hAnsiTheme="minorHAnsi" w:cstheme="minorHAnsi"/>
          <w:sz w:val="24"/>
          <w:szCs w:val="24"/>
          <w:shd w:val="clear" w:color="auto" w:fill="FEFFFE"/>
        </w:rPr>
      </w:pPr>
      <w:r w:rsidRPr="00C33C35">
        <w:rPr>
          <w:rStyle w:val="None"/>
          <w:rFonts w:asciiTheme="minorHAnsi" w:hAnsiTheme="minorHAnsi" w:cstheme="minorHAnsi"/>
          <w:sz w:val="24"/>
          <w:szCs w:val="24"/>
          <w:shd w:val="clear" w:color="auto" w:fill="FEFFFE"/>
          <w:lang w:val="en-US"/>
        </w:rPr>
        <w:t>A Gender Pay Gap is not the same as an Equal Pay Gap. The latter refers to the difference between men and women’s pay for the same job and is illegal. The Gender Pay Gap relates to the difference calculated between average earnings irrespective of roles.</w:t>
      </w:r>
    </w:p>
    <w:p w:rsidR="00755DD4" w:rsidRPr="00C33C35" w:rsidRDefault="00755DD4" w:rsidP="00755DD4">
      <w:pPr>
        <w:pStyle w:val="Default"/>
        <w:rPr>
          <w:rStyle w:val="None"/>
          <w:rFonts w:asciiTheme="minorHAnsi" w:eastAsia="Times New Roman" w:hAnsiTheme="minorHAnsi" w:cstheme="minorHAnsi"/>
          <w:sz w:val="24"/>
          <w:szCs w:val="24"/>
          <w:shd w:val="clear" w:color="auto" w:fill="FEFFFE"/>
        </w:rPr>
      </w:pPr>
    </w:p>
    <w:p w:rsidR="00755DD4" w:rsidRPr="00C33C35" w:rsidRDefault="00755DD4" w:rsidP="00755DD4">
      <w:pPr>
        <w:pStyle w:val="Default"/>
        <w:rPr>
          <w:rStyle w:val="None"/>
          <w:rFonts w:asciiTheme="minorHAnsi" w:eastAsia="Times New Roman" w:hAnsiTheme="minorHAnsi" w:cstheme="minorHAnsi"/>
          <w:sz w:val="24"/>
          <w:szCs w:val="24"/>
          <w:shd w:val="clear" w:color="auto" w:fill="FEFFFE"/>
        </w:rPr>
      </w:pPr>
      <w:r w:rsidRPr="00C33C35">
        <w:rPr>
          <w:rStyle w:val="None"/>
          <w:rFonts w:asciiTheme="minorHAnsi" w:hAnsiTheme="minorHAnsi" w:cstheme="minorHAnsi"/>
          <w:sz w:val="24"/>
          <w:szCs w:val="24"/>
          <w:shd w:val="clear" w:color="auto" w:fill="FEFFFE"/>
          <w:lang w:val="en-US"/>
        </w:rPr>
        <w:t xml:space="preserve">The Group employs more women than men in total </w:t>
      </w:r>
      <w:r w:rsidRPr="00C33C35">
        <w:rPr>
          <w:rStyle w:val="None"/>
          <w:rFonts w:asciiTheme="minorHAnsi" w:hAnsiTheme="minorHAnsi" w:cstheme="minorHAnsi"/>
          <w:i/>
          <w:iCs/>
          <w:sz w:val="24"/>
          <w:szCs w:val="24"/>
          <w:shd w:val="clear" w:color="auto" w:fill="FEFFFE"/>
          <w:lang w:val="en-US"/>
        </w:rPr>
        <w:t>and</w:t>
      </w:r>
      <w:r w:rsidRPr="00C33C35">
        <w:rPr>
          <w:rStyle w:val="None"/>
          <w:rFonts w:asciiTheme="minorHAnsi" w:hAnsiTheme="minorHAnsi" w:cstheme="minorHAnsi"/>
          <w:sz w:val="24"/>
          <w:szCs w:val="24"/>
          <w:shd w:val="clear" w:color="auto" w:fill="FEFFFE"/>
          <w:lang w:val="en-US"/>
        </w:rPr>
        <w:t xml:space="preserve"> in each pay quartile. However, a high proportion of women work in administrative (broadly, non - teaching)</w:t>
      </w:r>
      <w:r w:rsidRPr="00C33C35">
        <w:rPr>
          <w:rStyle w:val="None"/>
          <w:rFonts w:asciiTheme="minorHAnsi" w:hAnsiTheme="minorHAnsi" w:cstheme="minorHAnsi"/>
          <w:sz w:val="24"/>
          <w:szCs w:val="24"/>
          <w:shd w:val="clear" w:color="auto" w:fill="FEFFFE"/>
        </w:rPr>
        <w:t xml:space="preserve"> </w:t>
      </w:r>
      <w:r w:rsidRPr="00C33C35">
        <w:rPr>
          <w:rStyle w:val="None"/>
          <w:rFonts w:asciiTheme="minorHAnsi" w:hAnsiTheme="minorHAnsi" w:cstheme="minorHAnsi"/>
          <w:sz w:val="24"/>
          <w:szCs w:val="24"/>
          <w:shd w:val="clear" w:color="auto" w:fill="FEFFFE"/>
          <w:lang w:val="en-US"/>
        </w:rPr>
        <w:t xml:space="preserve">or T.A. roles which are generally lower paid than many teaching positions. This underscores the importance of the </w:t>
      </w:r>
      <w:r w:rsidRPr="00C33C35">
        <w:rPr>
          <w:rStyle w:val="None"/>
          <w:rFonts w:asciiTheme="minorHAnsi" w:hAnsiTheme="minorHAnsi" w:cstheme="minorHAnsi"/>
          <w:i/>
          <w:iCs/>
          <w:sz w:val="24"/>
          <w:szCs w:val="24"/>
          <w:shd w:val="clear" w:color="auto" w:fill="FEFFFE"/>
          <w:lang w:val="en-US"/>
        </w:rPr>
        <w:t>type</w:t>
      </w:r>
      <w:r w:rsidRPr="00C33C35">
        <w:rPr>
          <w:rStyle w:val="None"/>
          <w:rFonts w:asciiTheme="minorHAnsi" w:hAnsiTheme="minorHAnsi" w:cstheme="minorHAnsi"/>
          <w:sz w:val="24"/>
          <w:szCs w:val="24"/>
          <w:shd w:val="clear" w:color="auto" w:fill="FEFFFE"/>
          <w:lang w:val="en-US"/>
        </w:rPr>
        <w:t xml:space="preserve"> of role a person is in as being a significant cause of the overall Gender Pay Gap.</w:t>
      </w:r>
    </w:p>
    <w:p w:rsidR="00755DD4" w:rsidRPr="00C33C35" w:rsidRDefault="00755DD4" w:rsidP="00755DD4">
      <w:pPr>
        <w:pStyle w:val="Default"/>
        <w:rPr>
          <w:rFonts w:asciiTheme="minorHAnsi" w:hAnsiTheme="minorHAnsi" w:cstheme="minorHAnsi"/>
          <w:sz w:val="24"/>
          <w:szCs w:val="24"/>
        </w:rPr>
      </w:pPr>
    </w:p>
    <w:p w:rsidR="00755DD4" w:rsidRPr="00C33C35" w:rsidRDefault="00755DD4" w:rsidP="00755DD4">
      <w:pPr>
        <w:pStyle w:val="Default"/>
        <w:rPr>
          <w:rFonts w:asciiTheme="minorHAnsi" w:hAnsiTheme="minorHAnsi" w:cstheme="minorHAnsi"/>
          <w:sz w:val="24"/>
          <w:szCs w:val="24"/>
        </w:rPr>
      </w:pPr>
      <w:r w:rsidRPr="00C33C35">
        <w:rPr>
          <w:rFonts w:asciiTheme="minorHAnsi" w:hAnsiTheme="minorHAnsi" w:cstheme="minorHAnsi"/>
          <w:sz w:val="24"/>
          <w:szCs w:val="24"/>
        </w:rPr>
        <w:t xml:space="preserve">The Group only pays a small number of bonus payments in any one year and so a slight change in the bonus profile in any one year has a significant impact on the distribution. </w:t>
      </w:r>
    </w:p>
    <w:p w:rsidR="00D969CA" w:rsidRDefault="00D969CA"/>
    <w:sectPr w:rsidR="00D969C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6D" w:rsidRDefault="00B9179B">
      <w:r>
        <w:separator/>
      </w:r>
    </w:p>
  </w:endnote>
  <w:endnote w:type="continuationSeparator" w:id="0">
    <w:p w:rsidR="009A0F6D" w:rsidRDefault="00B9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7F" w:rsidRDefault="00BA24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6D" w:rsidRDefault="00B9179B">
      <w:r>
        <w:separator/>
      </w:r>
    </w:p>
  </w:footnote>
  <w:footnote w:type="continuationSeparator" w:id="0">
    <w:p w:rsidR="009A0F6D" w:rsidRDefault="00B91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7F" w:rsidRDefault="00BA24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4260C"/>
    <w:multiLevelType w:val="hybridMultilevel"/>
    <w:tmpl w:val="7918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D4"/>
    <w:rsid w:val="001153E1"/>
    <w:rsid w:val="00275AE5"/>
    <w:rsid w:val="00361891"/>
    <w:rsid w:val="0042144A"/>
    <w:rsid w:val="0046684B"/>
    <w:rsid w:val="005644B5"/>
    <w:rsid w:val="00674039"/>
    <w:rsid w:val="00755DD4"/>
    <w:rsid w:val="00847052"/>
    <w:rsid w:val="00974CEB"/>
    <w:rsid w:val="009A0F6D"/>
    <w:rsid w:val="00A13D90"/>
    <w:rsid w:val="00A60A2F"/>
    <w:rsid w:val="00B9179B"/>
    <w:rsid w:val="00BA24AE"/>
    <w:rsid w:val="00C33C35"/>
    <w:rsid w:val="00D9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22FD"/>
  <w15:docId w15:val="{9D52C00B-7667-47AB-BFE7-82308C47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5D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5DD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customStyle="1" w:styleId="Default">
    <w:name w:val="Default"/>
    <w:rsid w:val="00755DD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None">
    <w:name w:val="None"/>
    <w:rsid w:val="00755DD4"/>
  </w:style>
  <w:style w:type="character" w:customStyle="1" w:styleId="Hyperlink0">
    <w:name w:val="Hyperlink.0"/>
    <w:basedOn w:val="None"/>
    <w:rsid w:val="00755DD4"/>
    <w:rPr>
      <w:color w:val="0000ED"/>
      <w:u w:val="single" w:color="0000ED"/>
    </w:rPr>
  </w:style>
  <w:style w:type="paragraph" w:customStyle="1" w:styleId="TableStyle2">
    <w:name w:val="Table Style 2"/>
    <w:rsid w:val="00755DD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rPr>
  </w:style>
  <w:style w:type="paragraph" w:styleId="BalloonText">
    <w:name w:val="Balloon Text"/>
    <w:basedOn w:val="Normal"/>
    <w:link w:val="BalloonTextChar"/>
    <w:uiPriority w:val="99"/>
    <w:semiHidden/>
    <w:unhideWhenUsed/>
    <w:rsid w:val="00275AE5"/>
    <w:rPr>
      <w:rFonts w:ascii="Tahoma" w:hAnsi="Tahoma" w:cs="Tahoma"/>
      <w:sz w:val="16"/>
      <w:szCs w:val="16"/>
    </w:rPr>
  </w:style>
  <w:style w:type="character" w:customStyle="1" w:styleId="BalloonTextChar">
    <w:name w:val="Balloon Text Char"/>
    <w:basedOn w:val="DefaultParagraphFont"/>
    <w:link w:val="BalloonText"/>
    <w:uiPriority w:val="99"/>
    <w:semiHidden/>
    <w:rsid w:val="00275AE5"/>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xperthr.co.uk/faq/which-employers-will-be-covered-by-the-gender-pay-gap-reporting-duty/157398/?cmpid=ILC%7cPROF%7cHRPIO-2013-110-XHR_free_content_links%7cptod_article&amp;sfid=701w0000000uN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Alpha Plus Group</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Brereton</dc:creator>
  <cp:lastModifiedBy>Sue Whitehead</cp:lastModifiedBy>
  <cp:revision>4</cp:revision>
  <dcterms:created xsi:type="dcterms:W3CDTF">2020-03-09T08:59:00Z</dcterms:created>
  <dcterms:modified xsi:type="dcterms:W3CDTF">2020-03-09T09:03:00Z</dcterms:modified>
</cp:coreProperties>
</file>